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58A7E">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7AD2EC8D">
      <w:pPr>
        <w:spacing w:line="540" w:lineRule="exact"/>
        <w:jc w:val="center"/>
        <w:rPr>
          <w:rFonts w:ascii="方正小标宋_GBK" w:hAnsi="华文中宋" w:eastAsia="方正小标宋_GBK" w:cs="宋体"/>
          <w:b/>
          <w:kern w:val="0"/>
          <w:sz w:val="48"/>
          <w:szCs w:val="48"/>
        </w:rPr>
      </w:pPr>
    </w:p>
    <w:p w14:paraId="2CB1C236">
      <w:pPr>
        <w:spacing w:line="540" w:lineRule="exact"/>
        <w:jc w:val="center"/>
        <w:rPr>
          <w:rFonts w:ascii="方正小标宋_GBK" w:hAnsi="华文中宋" w:eastAsia="方正小标宋_GBK" w:cs="宋体"/>
          <w:b/>
          <w:kern w:val="0"/>
          <w:sz w:val="48"/>
          <w:szCs w:val="48"/>
        </w:rPr>
      </w:pPr>
    </w:p>
    <w:p w14:paraId="552CA5D7">
      <w:pPr>
        <w:spacing w:line="540" w:lineRule="exact"/>
        <w:jc w:val="center"/>
        <w:rPr>
          <w:rFonts w:ascii="方正小标宋_GBK" w:hAnsi="华文中宋" w:eastAsia="方正小标宋_GBK" w:cs="宋体"/>
          <w:b/>
          <w:kern w:val="0"/>
          <w:sz w:val="48"/>
          <w:szCs w:val="48"/>
        </w:rPr>
      </w:pPr>
    </w:p>
    <w:p w14:paraId="50E6CBD5">
      <w:pPr>
        <w:spacing w:line="540" w:lineRule="exact"/>
        <w:jc w:val="center"/>
        <w:rPr>
          <w:rFonts w:ascii="方正小标宋_GBK" w:hAnsi="华文中宋" w:eastAsia="方正小标宋_GBK" w:cs="宋体"/>
          <w:b/>
          <w:kern w:val="0"/>
          <w:sz w:val="48"/>
          <w:szCs w:val="48"/>
        </w:rPr>
      </w:pPr>
    </w:p>
    <w:p w14:paraId="7BA1612C">
      <w:pPr>
        <w:spacing w:line="540" w:lineRule="exact"/>
        <w:jc w:val="center"/>
        <w:rPr>
          <w:rFonts w:ascii="方正小标宋_GBK" w:hAnsi="华文中宋" w:eastAsia="方正小标宋_GBK" w:cs="宋体"/>
          <w:b/>
          <w:kern w:val="0"/>
          <w:sz w:val="48"/>
          <w:szCs w:val="48"/>
        </w:rPr>
      </w:pPr>
    </w:p>
    <w:p w14:paraId="7BFEACD0">
      <w:pPr>
        <w:spacing w:line="540" w:lineRule="exact"/>
        <w:jc w:val="center"/>
        <w:rPr>
          <w:rFonts w:ascii="方正小标宋_GBK" w:hAnsi="华文中宋" w:eastAsia="方正小标宋_GBK" w:cs="宋体"/>
          <w:b/>
          <w:kern w:val="0"/>
          <w:sz w:val="48"/>
          <w:szCs w:val="48"/>
        </w:rPr>
      </w:pPr>
    </w:p>
    <w:p w14:paraId="683E6C2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4E1534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FDC5655">
      <w:pPr>
        <w:spacing w:line="540" w:lineRule="exact"/>
        <w:jc w:val="center"/>
        <w:rPr>
          <w:rFonts w:ascii="华文中宋" w:hAnsi="华文中宋" w:eastAsia="华文中宋" w:cs="宋体"/>
          <w:b/>
          <w:kern w:val="0"/>
          <w:sz w:val="52"/>
          <w:szCs w:val="52"/>
        </w:rPr>
      </w:pPr>
    </w:p>
    <w:p w14:paraId="26099E3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C253A9E">
      <w:pPr>
        <w:spacing w:line="700" w:lineRule="exact"/>
        <w:jc w:val="left"/>
        <w:rPr>
          <w:rFonts w:hint="eastAsia" w:hAnsi="宋体" w:eastAsia="仿宋_GB2312" w:cs="宋体"/>
          <w:kern w:val="0"/>
          <w:sz w:val="36"/>
          <w:szCs w:val="36"/>
        </w:rPr>
      </w:pPr>
    </w:p>
    <w:p w14:paraId="51094351">
      <w:pPr>
        <w:spacing w:line="700" w:lineRule="exact"/>
        <w:jc w:val="left"/>
        <w:rPr>
          <w:rFonts w:hint="eastAsia" w:hAnsi="宋体" w:eastAsia="仿宋_GB2312" w:cs="宋体"/>
          <w:kern w:val="0"/>
          <w:sz w:val="36"/>
          <w:szCs w:val="36"/>
        </w:rPr>
      </w:pPr>
    </w:p>
    <w:p w14:paraId="206B388A">
      <w:pPr>
        <w:spacing w:line="700" w:lineRule="exact"/>
        <w:jc w:val="left"/>
        <w:rPr>
          <w:rFonts w:hint="eastAsia" w:hAnsi="宋体" w:eastAsia="仿宋_GB2312" w:cs="宋体"/>
          <w:kern w:val="0"/>
          <w:sz w:val="36"/>
          <w:szCs w:val="36"/>
          <w:lang w:eastAsia="zh-CN"/>
        </w:rPr>
      </w:pPr>
    </w:p>
    <w:p w14:paraId="23B71CF9">
      <w:pPr>
        <w:spacing w:line="700" w:lineRule="exact"/>
        <w:jc w:val="left"/>
        <w:rPr>
          <w:rFonts w:hint="eastAsia" w:hAnsi="宋体" w:eastAsia="仿宋_GB2312" w:cs="宋体"/>
          <w:kern w:val="0"/>
          <w:sz w:val="36"/>
          <w:szCs w:val="36"/>
          <w:lang w:eastAsia="zh-CN"/>
        </w:rPr>
      </w:pPr>
    </w:p>
    <w:p w14:paraId="7E6E48CC">
      <w:pPr>
        <w:spacing w:line="700" w:lineRule="exact"/>
        <w:jc w:val="left"/>
        <w:rPr>
          <w:rFonts w:hint="eastAsia" w:hAnsi="宋体" w:eastAsia="仿宋_GB2312" w:cs="宋体"/>
          <w:kern w:val="0"/>
          <w:sz w:val="36"/>
          <w:szCs w:val="36"/>
          <w:lang w:eastAsia="zh-CN"/>
        </w:rPr>
      </w:pPr>
    </w:p>
    <w:p w14:paraId="10AC2AB7">
      <w:pPr>
        <w:spacing w:line="700" w:lineRule="exact"/>
        <w:jc w:val="left"/>
        <w:rPr>
          <w:rFonts w:hint="eastAsia" w:hAnsi="宋体" w:eastAsia="仿宋_GB2312" w:cs="宋体"/>
          <w:kern w:val="0"/>
          <w:sz w:val="36"/>
          <w:szCs w:val="36"/>
          <w:lang w:eastAsia="zh-CN"/>
        </w:rPr>
      </w:pPr>
    </w:p>
    <w:p w14:paraId="4F31FC90">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克州畜禽繁育改良总站</w:t>
      </w:r>
    </w:p>
    <w:p w14:paraId="0EC40D5E">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2022年03月18日</w:t>
      </w:r>
    </w:p>
    <w:p w14:paraId="00E491CE">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317998A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1A90F3C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全州畜牧技术推广工作的组织和实施,督促和执行家畜品种区划工作;参与品种改良规划的编制工作,并选择引进和培育优秀种公畜,掌握种畜品质和利用情况,组织种畜更新换代及后裔测定工作;承担国家、自治区及自治州下达的畜牧技术推广攻关课题,制作、生产并提供各种家畜的冻精、液氮及器材;承担全州冻精质量检测及对人员的技术</w:t>
      </w:r>
      <w:r>
        <w:rPr>
          <w:rFonts w:hint="eastAsia" w:ascii="仿宋_GB2312" w:hAnsi="宋体" w:eastAsia="仿宋_GB2312"/>
          <w:b w:val="0"/>
          <w:bCs/>
          <w:sz w:val="32"/>
          <w:szCs w:val="32"/>
        </w:rPr>
        <w:cr/>
      </w:r>
      <w:r>
        <w:rPr>
          <w:rFonts w:hint="eastAsia" w:ascii="仿宋_GB2312" w:hAnsi="宋体" w:eastAsia="仿宋_GB2312"/>
          <w:b w:val="0"/>
          <w:bCs/>
          <w:sz w:val="32"/>
          <w:szCs w:val="32"/>
        </w:rPr>
        <w:t>培训工作等项工作。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克州自治州畜禽繁育改良站,机构规格相当于副县级,核定事业编制23名。实有人数23人，退休8人。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积极做好品种改良工作。2021年调入肉（奶）牛良补冻精9万剂,其中通过政府采购5万剂，通过协调自治区畜牧总站解决肉牛冻精4万剂，</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发放冻精6.96万剂，完成牛冷配2.8万头，预计年底完成牛配种任务3万头。以阿图什市为主开展了不同性别、不同年龄段的西门塔尔牛进行外貌鉴定和体尺测定，并结合第三次全国畜禽遗传资源普查结果，完成西门塔尔牛遗传改良调查报告；</w:t>
      </w:r>
      <w:r>
        <w:rPr>
          <w:rFonts w:hint="eastAsia" w:ascii="仿宋_GB2312" w:hAnsi="宋体" w:eastAsia="仿宋_GB2312"/>
          <w:b w:val="0"/>
          <w:bCs/>
          <w:sz w:val="32"/>
          <w:szCs w:val="32"/>
        </w:rPr>
        <w:cr/>
      </w:r>
      <w:r>
        <w:rPr>
          <w:rFonts w:hint="eastAsia" w:ascii="仿宋_GB2312" w:hAnsi="宋体" w:eastAsia="仿宋_GB2312"/>
          <w:b w:val="0"/>
          <w:bCs/>
          <w:sz w:val="32"/>
          <w:szCs w:val="32"/>
        </w:rPr>
        <w:t>　　积极做好牦牛品种改良工作。从青海省大通种牛场调入牦牛冻精5000剂，在4个县（市）的8个乡（镇）采取“同期发情+人工授精”技术措施开展牦牛冷配3025头；向开展牦牛人工授精的8乡畜牧兽医站配备价值22.2万元的配种器材、同期发情生殖激素。同时，为加强牦牛产业发展，与青海省大通种牛场达成牦牛产业发展合作协议，将在种公牦牛（冻精）引进、牦牛良种繁育技术服务等方面得到大通种牛场的支持和技术支撑。</w:t>
      </w:r>
      <w:r>
        <w:rPr>
          <w:rFonts w:hint="eastAsia" w:ascii="仿宋_GB2312" w:hAnsi="宋体" w:eastAsia="仿宋_GB2312"/>
          <w:b w:val="0"/>
          <w:bCs/>
          <w:sz w:val="32"/>
          <w:szCs w:val="32"/>
        </w:rPr>
        <w:cr/>
      </w:r>
      <w:r>
        <w:rPr>
          <w:rFonts w:hint="eastAsia" w:ascii="仿宋_GB2312" w:hAnsi="宋体" w:eastAsia="仿宋_GB2312"/>
          <w:b w:val="0"/>
          <w:bCs/>
          <w:sz w:val="32"/>
          <w:szCs w:val="32"/>
        </w:rPr>
        <w:t>　　积极做好肉羊良种繁育工作。一是与自治区牧区地方肉羊品种选育推广技术体系办公室签订了任务书，对被纳入到自治区牧区地方肉羊品种选育推广体系的柯尔克孜羊良种繁育场和乌恰县、阿合奇县开展肉羊外貌鉴定、整群以及羔羊培育等技术服务工作，共鉴定定级柯尔克孜羊基础母羊1200只、周岁后备羊300只。二是根据乌恰县、阿合奇县柯尔克孜羊人工授精需要，采购羊配种器材、药剂等，配备给开发人工授精的乡（镇）畜牧兽医站，共采购配种器材290多套，配齐10个乡镇的配种器材。三是在乌恰县、阿合奇县开展肉羊人工授精1.01万只，其中采取同期发情绵羊人工授精0.2万只。四是在阿合奇县和阿克陶县新增柯尔克孜羊核心群基础母羊2600只。五是编印肉羊人工授精和同期发情技术手册400本。</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实施畜牧良种补贴项目。按照自治区畜牧兽医局项目实施方案，经过局领导和州财政局沟通，制定并印发项目实施方案，安排肉牛冻精补贴7.2万剂、种公羊补贴2065只、核心群良种母羊补贴300只、牦牛种公牛补贴150头，下拨畜牧业良种补贴资金375万元。目前，已完成1500只种公羊的鉴定、检疫、发放工作，完成300只核心群良种后备母羊和50头公牦牛鉴定登记工作，完成冻精采购3万剂。</w:t>
      </w:r>
      <w:r>
        <w:rPr>
          <w:rFonts w:hint="eastAsia" w:ascii="仿宋_GB2312" w:hAnsi="宋体" w:eastAsia="仿宋_GB2312"/>
          <w:b w:val="0"/>
          <w:bCs/>
          <w:sz w:val="32"/>
          <w:szCs w:val="32"/>
        </w:rPr>
        <w:cr/>
      </w:r>
      <w:r>
        <w:rPr>
          <w:rFonts w:hint="eastAsia" w:ascii="仿宋_GB2312" w:hAnsi="宋体" w:eastAsia="仿宋_GB2312"/>
          <w:b w:val="0"/>
          <w:bCs/>
          <w:sz w:val="32"/>
          <w:szCs w:val="32"/>
        </w:rPr>
        <w:t>　　家禽良种繁育形成规模。组织专家组前往申请发放种畜禽生产经营许可证的阿克陶县兴泰农牧科技有限公司和阿克陶县恒裕鑫肉鸽父母代种禽场开展现场审核，并发证。目前，这两个种禽场所饲养的父母代种禽达到23万羽，年孵化商品代肉禽能力1500万羽，既满足克州肉禽养殖需求，还面向南疆市场提供种源。</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实施柯尔克孜马核心群建设和良种补贴项目。我站组织成立鉴定组前往三县一市的7个柯尔克孜马主产乡（场）对饲养柯尔克孜马10匹以上的养殖专业户的马匹进行鉴定，共计鉴定柯尔克孜马465匹。经过体尺测定数据分析和外貌鉴定综合评定，把公马鉴定等级一级以上、母马鉴定等级二级以上的410匹马纳入良种补贴对象，调整良种补贴标准，委托县（市）发放补贴资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认真做好畜禽遗传资源普查工作。制定并印发畜禽遗传资源普查实施方案，开办培训班，编制印发政策汇编、品种标准汇编和普查操作手册各50本，发放《畜禽品种鉴别参考图册》200份、《新疆第三次畜禽遗传资源普查操作手册》60本等技术资料。第三次全国畜禽遗传资源普查工作启动以来，组织参与普查员为501人，州、县两级培训场次为72次，目前畜禽遗传资源普查工作入户普查登记和系统录入工作基本结束，全州乡镇完成率98%、行政村完成率94%，共收录7个畜种、21个品种，普查畜禽群体规模199.8万头（只、羽），其中柯尔克孜羊群体规模99万只、多浪羊7.74万只、西门塔尔牛7.6万头、荷斯坦牛1.5万头。把帕米尔牦牛作为新发现的遗传资源进行调查，帕米尔牦牛群体规模14.7万头，其中能繁母牛9.67万头、公牛1.93万头。</w:t>
      </w:r>
      <w:r>
        <w:rPr>
          <w:rFonts w:hint="eastAsia" w:ascii="仿宋_GB2312" w:hAnsi="宋体" w:eastAsia="仿宋_GB2312"/>
          <w:b w:val="0"/>
          <w:bCs/>
          <w:sz w:val="32"/>
          <w:szCs w:val="32"/>
        </w:rPr>
        <w:cr/>
      </w:r>
      <w:r>
        <w:rPr>
          <w:rFonts w:hint="eastAsia" w:ascii="仿宋_GB2312" w:hAnsi="宋体" w:eastAsia="仿宋_GB2312"/>
          <w:b w:val="0"/>
          <w:bCs/>
          <w:sz w:val="32"/>
          <w:szCs w:val="32"/>
        </w:rPr>
        <w:t>　　认真做好畜禽遗传资源调查和保护工作。收集关于帕米尔牦牛的相关资料，全面分析汇总帕米尔牦牛肉用性能、繁殖性能测定和牦牛外貌鉴定等基础性资料，修改完善帕米尔牦牛资源调查报告上报自治区畜牧总站，成功申报帕米尔牦牛资源调查报告，并顺利通过国家畜禽遗传资源委员会专家组的现场审核和审定公布，帕米尔牦牛遗传资源被列为全国十大优异新发现畜禽遗传资源之一。密切配合自治区畜牧总站，在阿图什市、乌恰县完成柯尔克孜羊细管冻精2800剂、在阿合奇县完成柯尔克孜马细管冻精2200剂，送到自治区畜牧总站基因库保存。</w:t>
      </w:r>
      <w:r>
        <w:rPr>
          <w:rFonts w:hint="eastAsia" w:ascii="仿宋_GB2312" w:hAnsi="宋体" w:eastAsia="仿宋_GB2312"/>
          <w:b w:val="0"/>
          <w:bCs/>
          <w:sz w:val="32"/>
          <w:szCs w:val="32"/>
        </w:rPr>
        <w:cr/>
      </w:r>
      <w:r>
        <w:rPr>
          <w:rFonts w:hint="eastAsia" w:ascii="仿宋_GB2312" w:hAnsi="宋体" w:eastAsia="仿宋_GB2312"/>
          <w:b w:val="0"/>
          <w:bCs/>
          <w:sz w:val="32"/>
          <w:szCs w:val="32"/>
        </w:rPr>
        <w:t>　　做好2021畜禽养殖粪污资源化利用。养殖场直联直报系统统计分析显示，全州畜禽粪污产生273.6万吨，其中规模养殖场粪污产生量1.18万吨、规模以下养殖场户粪污产生量272.4万吨；全州畜禽养殖粪污资源化利用量212.5万吨，其中规模养殖场粪污资源化利用量1.1万吨，规模以下养殖场户粪污资源化利用量205.4万吨，养殖粪污资源化利用率78%。</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部门项目的立项依据充分，符合相关法规政策及部门职责，依据充分。符合行业发展和政策要求，与部门职责范围相符，属于部门履职所需。符合中央、地方事权支出责任划分原则。</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部门项目立项程序规范，项目严格按照规定的程序申请设立；审批文件、材料符合相关要求；项目前期已经过必要的可行性研究、专家论证、风险评估、绩效评估、集体决策。</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部门整体绩效目标设置合理，根据相关文件要求设置了整体绩效目标，整体项目绩效目标基本合理，与实际工作内容相关；预期产出效益和效果符合正常的业绩水平；与预算确定的项目投资额或资金量相匹配。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部门整体绩效指标明确，已将整体项目绩效目标细化分解为具体的绩效指标；可以通过清晰、可衡量的指标值予以体现；与整体项目目标任务数或计划数相对应。</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预算编制科学，整体项目在资金投入方面，预算编制经过科学论证、有明确标准，资金额度与年度目标相适应，用以反映和考核项目预算编制的科学性、合理性情况。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资金分配合理，整体项目预算资金分配有测算依据，资金分配额度合理，与部门单位的实际情况相适应。</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综上，我单位本年各项工作能够做到部门项目的立项依据充分，部门项目立项程序规范，绩效目标设置合理，预算编制科学有效，资金分配合理。决策过程科学规范、实施有效。</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（三）项目资金分配</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预算编制和分配符合部门职责和任务要求，能根据年度工作重点，在不同项目、不同用途之间进行合理分配。整体绩效目标与预算确定的资金相匹配。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支出保障率用以反映和考核部门（单位）对履行主要职责或完成重点任务的保障程度。我单位本年主要实施第一书记为民办实事经费重点项目，履行了维护社会稳定，做好群众工作，加强基层组织建设等保障改善民生，开展脱贫各项工作等主要职责。</w:t>
      </w:r>
      <w:r>
        <w:rPr>
          <w:rFonts w:hint="eastAsia" w:ascii="仿宋_GB2312" w:hAnsi="宋体" w:eastAsia="仿宋_GB2312"/>
          <w:b w:val="0"/>
          <w:bCs/>
          <w:sz w:val="32"/>
          <w:szCs w:val="32"/>
        </w:rPr>
        <w:cr/>
      </w:r>
      <w:r>
        <w:rPr>
          <w:rFonts w:hint="eastAsia" w:ascii="仿宋_GB2312" w:hAnsi="宋体" w:eastAsia="仿宋_GB2312"/>
          <w:b w:val="0"/>
          <w:bCs/>
          <w:sz w:val="32"/>
          <w:szCs w:val="32"/>
        </w:rPr>
        <w:t>　　本年度预算安排的重点项目支出12万元，项目总支出46.54万元，重点支出保障率为25.78%。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（1）年初预算执行情况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我单位年初预算数为374.36万元，实际预算执行数371.16万元，预算执行率为99.15%。</w:t>
      </w:r>
      <w:r>
        <w:rPr>
          <w:rFonts w:hint="eastAsia" w:ascii="仿宋_GB2312" w:hAnsi="宋体" w:eastAsia="仿宋_GB2312"/>
          <w:b w:val="0"/>
          <w:bCs/>
          <w:sz w:val="32"/>
          <w:szCs w:val="32"/>
        </w:rPr>
        <w:cr/>
      </w:r>
      <w:r>
        <w:rPr>
          <w:rFonts w:hint="eastAsia" w:ascii="仿宋_GB2312" w:hAnsi="宋体" w:eastAsia="仿宋_GB2312"/>
          <w:b w:val="0"/>
          <w:bCs/>
          <w:sz w:val="32"/>
          <w:szCs w:val="32"/>
        </w:rPr>
        <w:t>　　（2）全年预算执行情况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全年预算数为446.75万元，全年实际支出资金432.87万元，预算执行率为99.06%。</w:t>
      </w:r>
      <w:r>
        <w:rPr>
          <w:rFonts w:hint="eastAsia" w:ascii="仿宋_GB2312" w:hAnsi="宋体" w:eastAsia="仿宋_GB2312"/>
          <w:b w:val="0"/>
          <w:bCs/>
          <w:sz w:val="32"/>
          <w:szCs w:val="32"/>
        </w:rPr>
        <w:cr/>
      </w:r>
      <w:r>
        <w:rPr>
          <w:rFonts w:hint="eastAsia" w:ascii="仿宋_GB2312" w:hAnsi="宋体" w:eastAsia="仿宋_GB2312"/>
          <w:b w:val="0"/>
          <w:bCs/>
          <w:sz w:val="32"/>
          <w:szCs w:val="32"/>
        </w:rPr>
        <w:t>　　2.预算调整情况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我单位年初批复预算数374.36万元，年中调整数72.29万元，调整后全年预算数446.75万元，预算调整率</w:t>
      </w:r>
      <w:r>
        <w:rPr>
          <w:rFonts w:hint="eastAsia" w:ascii="仿宋_GB2312" w:hAnsi="宋体" w:eastAsia="仿宋_GB2312"/>
          <w:b w:val="0"/>
          <w:bCs/>
          <w:sz w:val="32"/>
          <w:szCs w:val="32"/>
          <w:lang w:val="en-US" w:eastAsia="zh-CN"/>
        </w:rPr>
        <w:t>19.31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3.政府采购执行情况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年初政府采购预算数为36.98万元，实际政府采购数为13.50万元，政府采购执行率为36.51%。</w:t>
      </w:r>
      <w:r>
        <w:rPr>
          <w:rFonts w:hint="eastAsia" w:ascii="仿宋_GB2312" w:hAnsi="宋体" w:eastAsia="仿宋_GB2312"/>
          <w:b w:val="0"/>
          <w:bCs/>
          <w:sz w:val="32"/>
          <w:szCs w:val="32"/>
        </w:rPr>
        <w:cr/>
      </w:r>
      <w:r>
        <w:rPr>
          <w:rFonts w:hint="eastAsia" w:ascii="仿宋_GB2312" w:hAnsi="宋体" w:eastAsia="仿宋_GB2312"/>
          <w:b w:val="0"/>
          <w:bCs/>
          <w:sz w:val="32"/>
          <w:szCs w:val="32"/>
        </w:rPr>
        <w:t>　　（五）评价使用方法和主要内容、涉及范围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1.评价使用方法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评价范围是对本单位整体支出从年度总体绩效目标、产出指标、效益指标、满意度指标等方面进行了全方位、多角度综合评价分析。</w:t>
      </w:r>
      <w:bookmarkStart w:id="0" w:name="_Hlk43849111"/>
      <w:bookmarkEnd w:id="0"/>
    </w:p>
    <w:p w14:paraId="5DA9DD4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E0C352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为加强预算管理，规范财务行为，已制定《克孜勒苏柯尔克孜自治州畜禽繁育改良站部门单位预算绩效管理工作实施办法》，《克孜勒苏柯尔克孜自治州畜禽繁育改良站单位财务管理制度》等健全完整的各项管理制度，有效保障了我单位高效的履行工作职能，较好的促进事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2021年本单位基本支出全年预算总额384.53万元，其中：人员经费364.20万元，公用经费20.33万元。实际支出384.53万元，基本支出预算执行率100%。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坚决贯彻落实中央、自治区、地州厉行勤俭办公的工作要求，提倡本单位全体干部职工，勤俭节约，切实降低行政运行成本，确保每年“三公经费”只减不增。2021年“三公经费”预算为3万元，实际支出2.95万元，“三公经费”控制率为98.33%，其中：因公出国（境）费预算为0万元，实际支出0万元；公务接待费预算为0.2万元，实际支出0.16万元；公务用车购置费预算为0万元，实际支出0万元；公务用车运行维护费预算为2.8万元，实际支出2.79万元，公务用车运行维护费控制率99.64%，符合财政部门本年预算要求和相关管理制度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专项资金的使用符合国家法规和财务管理制度，专项资金拨付有完整的审批程序和手续，符合项目预算批复或合同规定的用途，不存在截留、挤占、挪用、虚列支出等情况。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2021年本单位安排专项支出预算总额62.22万元，实际支出48.34万元，专项支出预算执行率92.72%。</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2021年本单位共有7个资金项目，其中5个属经常性项目、2个属当年度新增项目，已完成项目3个，未完成项目4个。</w:t>
      </w:r>
    </w:p>
    <w:p w14:paraId="6A5FF78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8C2EF4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本年我单位实施专项项目7个，涉及金额62.22万元，其中：中央专项项目1个涉及金额2万元，自治区专项项目5个涉及金额53.22万元，本级专项项目1个涉及金额7万元，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（一）项目专项组织情况分析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1.前期准备</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我单位成立专项支出绩效评价小组，成员如下：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牙生江·那斯尔任评价组组长，绩效评价工作职责为负责全盘工作。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吾拉木江任评价组副组长，绩效评价工作职责为为对项目实施情况进行实地调查。</w:t>
      </w:r>
      <w:r>
        <w:rPr>
          <w:rFonts w:hint="eastAsia" w:ascii="仿宋_GB2312" w:hAnsi="宋体" w:eastAsia="仿宋_GB2312"/>
          <w:b w:val="0"/>
          <w:bCs/>
          <w:sz w:val="32"/>
          <w:szCs w:val="32"/>
        </w:rPr>
        <w:cr/>
      </w:r>
      <w:r>
        <w:rPr>
          <w:rFonts w:hint="eastAsia" w:ascii="仿宋_GB2312" w:hAnsi="宋体" w:eastAsia="仿宋_GB2312"/>
          <w:b w:val="0"/>
          <w:bCs/>
          <w:sz w:val="32"/>
          <w:szCs w:val="32"/>
        </w:rPr>
        <w:t>　　沙依喀勒、祖木热提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r>
        <w:rPr>
          <w:rFonts w:hint="eastAsia" w:ascii="仿宋_GB2312" w:hAnsi="宋体" w:eastAsia="仿宋_GB2312"/>
          <w:b w:val="0"/>
          <w:bCs/>
          <w:sz w:val="32"/>
          <w:szCs w:val="32"/>
        </w:rPr>
        <w:cr/>
      </w:r>
      <w:r>
        <w:rPr>
          <w:rFonts w:hint="eastAsia" w:ascii="仿宋_GB2312" w:hAnsi="宋体" w:eastAsia="仿宋_GB2312"/>
          <w:b w:val="0"/>
          <w:bCs/>
          <w:sz w:val="32"/>
          <w:szCs w:val="32"/>
        </w:rPr>
        <w:t>　　2.组织实施</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1.项目资金情况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该项目预算资金62.22万元，实际到位62.22万元，实际支出48.34万元。到位足额及时，预算编制依据充分，预算编制准确，资金不存在截留、挪用，支付审批合规、不存在用途改变、范围超支和虚列项目支出等情况；本项目严格按照《克孜勒苏柯尔克孜自治州畜禽繁育改良站单位财务管理制度》执行项目资金，实行专账核算、逐级审批。认真落实项目资金的使用各项管理制度，确保专款专用，及时拨付到位。</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项目管理情况：根据《项目绩效管理办法》及单位相关项目管理制度的规定，对项目的实施进行监督管理。建立健全项目后续各项监督管理制度，确保项目正常运转，长期发挥效益。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项目监管情况：不定期对项目进度和质量等进行监督检查，并且组织开展多种形式的监督检查，以加强日常监管为主，自查、随机抽查、专项检查等方式进行。对检查中发现的问题，及时纠正。</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3.项目绩效情况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成本控制情况：严格按照相关的专项资金管理办法，实行多重审批控制专项经费的支出。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成本节约情况：项目根据实际情况做出合理预算，支出严格控制在预算范围内，本着节约成本，防止资源浪费的原则将项目成效最大化。</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4.项目效率性</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项目完成质量：项目严格按照年度预期目标执行，项目完成质量达标。</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5.项目效益性</w:t>
      </w:r>
      <w:r>
        <w:rPr>
          <w:rFonts w:hint="eastAsia" w:ascii="仿宋_GB2312" w:hAnsi="宋体" w:eastAsia="仿宋_GB2312"/>
          <w:b w:val="0"/>
          <w:bCs/>
          <w:sz w:val="32"/>
          <w:szCs w:val="32"/>
        </w:rPr>
        <w:cr/>
      </w:r>
      <w:r>
        <w:rPr>
          <w:rFonts w:hint="eastAsia" w:ascii="仿宋_GB2312" w:hAnsi="宋体" w:eastAsia="仿宋_GB2312"/>
          <w:b w:val="0"/>
          <w:bCs/>
          <w:sz w:val="32"/>
          <w:szCs w:val="32"/>
        </w:rPr>
        <w:t>　　预期目标完成程度：按预定目标完成了年初所设定的各项指标。专项经费实际支出未超出预算规定，保障了专项工作的开展。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项目实施对效益的影响：项目的实施有效提升了培训人员的爱国主义意识，持续保障了培训工作的顺利开展。</w:t>
      </w:r>
    </w:p>
    <w:p w14:paraId="6912BC5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081EC68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（一）资产管理规范性</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我单位2021年资产合计数为13.28万元，比上年减少11.54万元，主要原因是办公设备购买时间长，并且老化，故计提折旧等等，导致比上年固定资产有所减少。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货币资金减少，其中：货币资金1.85万元，比上年减少8.67万元；财政应返还额度0万元，比上年相比无变化；房屋61.8平方米1.19万元，比上年相比无变化；车辆2辆35.88万元，与上年相比无变化；在建工程0万元，与上年持平；办公设备及家具5.25万元，与上年相比无变化。我单位本年有资产处置情况，处置了固定资产1.53万元，资产配置合理，使用规范，安全完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val="0"/>
          <w:bCs/>
          <w:sz w:val="32"/>
          <w:szCs w:val="32"/>
        </w:rPr>
        <w:cr/>
      </w:r>
      <w:r>
        <w:rPr>
          <w:rFonts w:hint="eastAsia" w:ascii="仿宋_GB2312" w:hAnsi="宋体" w:eastAsia="仿宋_GB2312"/>
          <w:b w:val="0"/>
          <w:bCs/>
          <w:sz w:val="32"/>
          <w:szCs w:val="32"/>
        </w:rPr>
        <w:t>　　2.固定资产利用情况。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我单位固定资产97.96万元,其中:1套房屋1.19万元，2辆车35.88万元，10个专用设备26.35万元，5个办公设备5.25万元，其他设备30.48万元。目前正在使用的固定资产总额97.96万元，固定资产利用率为100%。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3.流动资产管理情况。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val="0"/>
          <w:bCs/>
          <w:sz w:val="32"/>
          <w:szCs w:val="32"/>
        </w:rPr>
        <w:cr/>
      </w:r>
      <w:r>
        <w:rPr>
          <w:rFonts w:hint="eastAsia" w:ascii="仿宋_GB2312" w:hAnsi="宋体" w:eastAsia="仿宋_GB2312"/>
          <w:b w:val="0"/>
          <w:bCs/>
          <w:sz w:val="32"/>
          <w:szCs w:val="32"/>
        </w:rPr>
        <w:t>　　（二）固定资产利用率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截止本年度固定资产账面净值11.43万元，年末实际在用固定资产11.43万元，固定资产利用率为100%。</w:t>
      </w:r>
    </w:p>
    <w:p w14:paraId="11BB0F27">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E43657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部门单位整体支出自评表，共设置一级指标3个，二级指标7个，三级指标16个。</w:t>
      </w:r>
      <w:r>
        <w:rPr>
          <w:rFonts w:hint="eastAsia" w:ascii="仿宋_GB2312" w:hAnsi="宋体" w:eastAsia="仿宋_GB2312"/>
          <w:b w:val="0"/>
          <w:bCs/>
          <w:sz w:val="32"/>
          <w:szCs w:val="32"/>
        </w:rPr>
        <w:cr/>
      </w:r>
      <w:r>
        <w:rPr>
          <w:rFonts w:hint="eastAsia" w:ascii="仿宋_GB2312" w:hAnsi="宋体" w:eastAsia="仿宋_GB2312"/>
          <w:b w:val="0"/>
          <w:bCs/>
          <w:sz w:val="32"/>
          <w:szCs w:val="32"/>
        </w:rPr>
        <w:t>　　（一）产出指标完成情况分析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1.产出数量</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大于等于33人，实际完成值是31人，指标完成率是93.94%，未达成预期目标，未完成的原因：根据克党编[2013]28号文件，减少了2人；今后的改进措施：严格按照编委文件认真统计我单位实有人数）</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“保障公务用车车辆数”指标，预期指标是大于等于2辆，实际完成值是2辆，指标完成率是100%，达成预期目标。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“开展畜牧技术培训次数”指标，预期指标是大于等于200（人/次），实际完成值是200（人/次），指标完成率是100%，达成预期目标。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“出栏鉴定合格种公羊数”指标，预期指标是大于等于600只，实际完成值是600只，指标完成率是100%，达成预期目标。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“推广良补西门塔尔牛冻精剂数”指标，预期指标是大于等于600剂，实际完成值是600剂，指标完成率是100%，达成预期目标。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数量指标共计5个，完成4个，达到预期目标；1个未完成，未达到预期目标。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2.产出质量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“绩效考核合格率”指标，预期指标是大于等于100%，实际完成值是100%，指标完成率是100%，达成预期目标。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“资金使用合规率”指标，预期指标是大于等于100%，实际完成值是100%，指标完成率是100%，达成预期目标。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质量指标共计2个，完成2个，达到质量提升及标准。质量指标完成。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3.产出进度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时效指标共计2个，完成2个，达达到预期目标，数量指标完成。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4.产出成本</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“人员经费”指标，预期指标是小于等于326.57万元，实际完成值是326.57万元，指标完成率是100%，达到成本控制及改善目标。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“公用经费”指标，预期指标是小于等于10.57万元，实际完成值是10.57万元，指标完成率是100%，达到成本控制及改善目标。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“群众工作经费”指标，预期指标是小于等于12万元，实际完成值是12万元，指标完成率是100%，达到成本控制及改善目标。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“联建工作经费”指标，预期指标是小于等于7万元，实际完成值是7万元，指标完成率是100%，达到成本控制及改善目标。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“柯尔克孜羊和西门塔尔牛改良（牲畜品种选育改良）项目</w:t>
      </w:r>
      <w:r>
        <w:rPr>
          <w:rFonts w:hint="eastAsia" w:ascii="仿宋_GB2312" w:hAnsi="宋体" w:eastAsia="仿宋_GB2312"/>
          <w:b w:val="0"/>
          <w:bCs/>
          <w:sz w:val="32"/>
          <w:szCs w:val="32"/>
        </w:rPr>
        <w:tab/>
      </w:r>
      <w:r>
        <w:rPr>
          <w:rFonts w:hint="eastAsia" w:ascii="仿宋_GB2312" w:hAnsi="宋体" w:eastAsia="仿宋_GB2312"/>
          <w:b w:val="0"/>
          <w:bCs/>
          <w:sz w:val="32"/>
          <w:szCs w:val="32"/>
        </w:rPr>
        <w:t>”指标，预期指标是小于等于16.22万元，实际完成值是13.02万元，指标完成率是80.27%，未达到成本控制及改善目标。偏差原因：1、采购时市场价格降低，故购置电子耳标成本结余；2、按照我单位三公经管理制度，公务用车运行费有所下降，严格控制三公经费支出.3、按照我单位差旅费管理制度，差旅费有所下降，严格控制差旅费支出；4、采购时市场价格降低，故购置鉴定器材成本结余。改进措施：下年度对市场做好充分调研、询价，与提供电子耳标的供应商签订合同。2、按照本年度公务用车经费支出为依据，编制下年度三公经费预算数。3、按照本年度差旅费支出为依据，编制下年度差旅费预算数。4、下年度对市场做好充分调研、询价，与提供鉴定器材的供应商签订合同。</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“动物疫病流通及落地监管项目”指标，预期指标是小于等于2万元，实际完成值是2万元，指标完成率是100%，达到成本控制及改善目标。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成本指标共计6个，完成5个，达到成本控制及改善目标，成本指标完成。1个未完成，未能达到成本控制及改善目标。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1.项目实施的经济效益分析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2.项目实施的社会效益分析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“畜牧产业带动农牧民增收作用”指标，预期指标是有效提升，实际完成值是有效提升，指标完成率是100%，达到单位履职能力对社会带来的影响预期目标。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3.项目实施的生态效益分析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4.项目实施的可持续影响分析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“提高畜牧业发展能力”指标，预期指标是持续提高，实际完成值是持续提高，指标完成率是100%，实现部门绩效长效机制建设，提高工作效率目标。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可持续影响指标共计1个，完成1个，达到预期目标，可持续影响指标完成。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（三）满意度指标完成情况分析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“受益工作人员满意度”指标，预期指标是大于等于90%，实际完成值是90%，指标完成率是100%，达到部门（单位）服务对象对部门履职效果的满意度。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14:paraId="7322897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7078275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绩效指标的明确性、可衡量性、相关性还需进一步提升。预算精细化管理还需完善，预算编制管理水平仍有进一步提升的空间。</w:t>
      </w:r>
    </w:p>
    <w:p w14:paraId="33B7928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5313E7A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81E0804"/>
    <w:rsid w:val="19EB7E5A"/>
    <w:rsid w:val="1FB0687A"/>
    <w:rsid w:val="200F4073"/>
    <w:rsid w:val="24B86128"/>
    <w:rsid w:val="337328ED"/>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9309</Words>
  <Characters>9858</Characters>
  <Lines>2</Lines>
  <Paragraphs>1</Paragraphs>
  <TotalTime>43</TotalTime>
  <ScaleCrop>false</ScaleCrop>
  <LinksUpToDate>false</LinksUpToDate>
  <CharactersWithSpaces>10149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2025-07-31T03:15:30Z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